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Sensibilización y Contexto Político Regional</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w:t>
      </w:r>
    </w:p>
    <w:p w:rsidR="00000000" w:rsidDel="00000000" w:rsidP="00000000" w:rsidRDefault="00000000" w:rsidRPr="00000000" w14:paraId="0000000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Reconocer la realidad </w:t>
      </w:r>
      <w:r w:rsidDel="00000000" w:rsidR="00000000" w:rsidRPr="00000000">
        <w:rPr>
          <w:rFonts w:ascii="Times New Roman" w:cs="Times New Roman" w:eastAsia="Times New Roman" w:hAnsi="Times New Roman"/>
          <w:sz w:val="24"/>
          <w:szCs w:val="24"/>
          <w:rtl w:val="0"/>
        </w:rPr>
        <w:t xml:space="preserve">regional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local;  y </w:t>
      </w:r>
      <w:r w:rsidDel="00000000" w:rsidR="00000000" w:rsidRPr="00000000">
        <w:rPr>
          <w:rFonts w:ascii="Times New Roman" w:cs="Times New Roman" w:eastAsia="Times New Roman" w:hAnsi="Times New Roman"/>
          <w:sz w:val="24"/>
          <w:szCs w:val="24"/>
          <w:rtl w:val="0"/>
        </w:rPr>
        <w:t xml:space="preserve">cómo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 interviene en los procesos de participación ciudadana en los territorios.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Contenido </w:t>
      </w:r>
    </w:p>
    <w:p w:rsidR="00000000" w:rsidDel="00000000" w:rsidP="00000000" w:rsidRDefault="00000000" w:rsidRPr="00000000" w14:paraId="0000000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en cuenta que el año 2019 es un año electoral se hace preciso adentrarse en las dinámicas del sistema político-administrativo colombiano enmarcado en el quehacer de las entidades,  instituciones y funcionarios públicos respecto a los compromisos que tienen con las comunidades.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los mecanismos de seguimiento y veeduría al actuar de los funcionarios  públicos, la corrupción sigue siendo uno de los principales problemas de la función pública; la celebración irregular de contratos, el detrimento patrimonial y los sobrecostos en la celebración de contratos, entre otros, le han costado al país cerca de 17,9 billones de pesos entre el 2016 y el 2018, siendo los funcionarios y autoridades electas los más vinculados a estos hechos de corrupción durante dicho periodo; según el tercer informe de Transparencia por Colombia, de las personas que ejecutan estos actos de corrupción ¨el 39 % fueron funcionarios públicos y el 30 % autoridades electas por voto popular. De dichas autoridades electas, el 81 % fueron concejales (41 %) y alcaldes (40 %) ¨ (2019, p12)</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este panorama pone en entredicho y da paso a serios cuestionamiento sobre los procesos electorales en el país donde se eligen las autoridades que administran los dineros públicos. En Colombia, el proceso de elección de alcaldes, gobernadores, diputados y concejales supone ser una disputa, en la mayoría de los casos, entre maquinarias y elites políticas que abogan por intereses privados dejando de lado los intereses de las comunidades y territorios. Es preciso señalar,  que en el país es una constante la práctica de delitos electorales como el fraude y constreñimiento al sufragante, voto fraudulento, tráfico de votos o alteración de resultados, entre otros, los cuales ponen en riesgo y amenaza el desarrollo de procesos electorales transparente. Lo anterior se convierte en la génesis de los procesos de corrupción relacionados con entidades y servidores públicos en tanto su accionar se  limita a responder a las redes de corrupción que les apoyaron desde una primera instancia. </w:t>
      </w:r>
    </w:p>
    <w:p w:rsidR="00000000" w:rsidDel="00000000" w:rsidP="00000000" w:rsidRDefault="00000000" w:rsidRPr="00000000" w14:paraId="0000000E">
      <w:pPr>
        <w:spacing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Considerando que la mayoría de casos de corrupción están relacionados con los gobiernos locales, quienes son los principales ejecutores de recursos públicos, se hace necesario desarrollar procesos y espacios de formación política con el fin de promover una participación en el escenario electoral consciente y responsable que garantice, por una lado la inclusión de las comunidades en la construcción de iniciativas relacionadas con el porvenir del territorio; y por otro lado el cumplimiento de propuestas y planes de gobierno de los candidatos y posteriores mandatarios. </w:t>
      </w:r>
    </w:p>
    <w:p w:rsidR="00000000" w:rsidDel="00000000" w:rsidP="00000000" w:rsidRDefault="00000000" w:rsidRPr="00000000" w14:paraId="0000000F">
      <w:pPr>
        <w:spacing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Los municipios a abordar, han adelantado previamente un proceso de acercamiento con la institucionalidad pública, participando de escenarios de interlocución entre la sociedad civil y la administración, tal como el Consejo Municipal de Paz; sin embargo, el escenario nacional ha mostrado serios inconvenientes para alcanzar la implementación del Acuerdo de Paz, lo que ha generado una sensación de incertidumbre e impotencia entre los líderes que le apuestan a la paz, por ello, el reto actual es la vinculación de los liderazgos en los procesos de impulso a la participación ciudadana en las elecciones locales como una respuesta de la sociedad civil ante el escenario nacional.</w:t>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Transparencia por Colombia (2019) </w:t>
      </w:r>
      <w:r w:rsidDel="00000000" w:rsidR="00000000" w:rsidRPr="00000000">
        <w:rPr>
          <w:rFonts w:ascii="Times New Roman" w:cs="Times New Roman" w:eastAsia="Times New Roman" w:hAnsi="Times New Roman"/>
          <w:i w:val="1"/>
          <w:sz w:val="24"/>
          <w:szCs w:val="24"/>
          <w:rtl w:val="0"/>
        </w:rPr>
        <w:t xml:space="preserve">Así se mueve la corrupción. Radiografía de los hechos de corrupción en Colombia 2016-2018, </w:t>
      </w:r>
      <w:r w:rsidDel="00000000" w:rsidR="00000000" w:rsidRPr="00000000">
        <w:rPr>
          <w:rFonts w:ascii="Times New Roman" w:cs="Times New Roman" w:eastAsia="Times New Roman" w:hAnsi="Times New Roman"/>
          <w:sz w:val="24"/>
          <w:szCs w:val="24"/>
          <w:rtl w:val="0"/>
        </w:rPr>
        <w:t xml:space="preserve">Recuperado de </w:t>
      </w:r>
      <w:hyperlink r:id="rId7">
        <w:r w:rsidDel="00000000" w:rsidR="00000000" w:rsidRPr="00000000">
          <w:rPr>
            <w:color w:val="0000ff"/>
            <w:u w:val="single"/>
            <w:rtl w:val="0"/>
          </w:rPr>
          <w:t xml:space="preserve">http://www.monitorciudadano.co/docs/asi_se_mueve_la_corrupcion.pdf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 de taller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301.000000000002"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3"/>
        <w:gridCol w:w="1809"/>
        <w:gridCol w:w="4140"/>
        <w:gridCol w:w="1120"/>
        <w:gridCol w:w="1549"/>
        <w:tblGridChange w:id="0">
          <w:tblGrid>
            <w:gridCol w:w="1683"/>
            <w:gridCol w:w="1809"/>
            <w:gridCol w:w="4140"/>
            <w:gridCol w:w="1120"/>
            <w:gridCol w:w="1549"/>
          </w:tblGrid>
        </w:tblGridChange>
      </w:tblGrid>
      <w:tr>
        <w:tc>
          <w:tcPr>
            <w:gridSpan w:val="5"/>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w:t>
            </w:r>
            <w:r w:rsidDel="00000000" w:rsidR="00000000" w:rsidRPr="00000000">
              <w:rPr>
                <w:rFonts w:ascii="Times New Roman" w:cs="Times New Roman" w:eastAsia="Times New Roman" w:hAnsi="Times New Roman"/>
                <w:sz w:val="24"/>
                <w:szCs w:val="24"/>
                <w:rtl w:val="0"/>
              </w:rPr>
              <w:t xml:space="preserve">I sesión de la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Escuela de Transición Política para la Paz. </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Duración: </w:t>
            </w:r>
            <w:r w:rsidDel="00000000" w:rsidR="00000000" w:rsidRPr="00000000">
              <w:rPr>
                <w:rFonts w:ascii="Times New Roman" w:cs="Times New Roman" w:eastAsia="Times New Roman" w:hAnsi="Times New Roman"/>
                <w:sz w:val="24"/>
                <w:szCs w:val="24"/>
                <w:rtl w:val="0"/>
              </w:rPr>
              <w:t xml:space="preserve">5 horas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Implementar una ruta de incidencia política como medio para la participación y la democracia electoral, cualificando la participación ciudadana para potenciar los niveles de incidencia política a partir de la capacidad que tenga las Organizaciones sociales para lograr acuerdos de voluntades de los candidatos para la inclusión de propuestas en sus planes de gobierno y eventualmente en sus planes de desarrollo municipal.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Diagnosticar la caracterización de los participantes de la Escuela y sensibilizarlos sobre la Escuela como estrategia para la implementación del plan de acción propuesto para la obtención de la Paz territorial.</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Tema: </w:t>
            </w:r>
            <w:r w:rsidDel="00000000" w:rsidR="00000000" w:rsidRPr="00000000">
              <w:rPr>
                <w:rFonts w:ascii="Times New Roman" w:cs="Times New Roman" w:eastAsia="Times New Roman" w:hAnsi="Times New Roman"/>
                <w:sz w:val="24"/>
                <w:szCs w:val="24"/>
                <w:rtl w:val="0"/>
              </w:rPr>
              <w:t xml:space="preserve">Sensibilización y contextualización nacional en torno al escenario electoral.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Fecha :  </w:t>
            </w:r>
            <w:r w:rsidDel="00000000" w:rsidR="00000000" w:rsidRPr="00000000">
              <w:rPr>
                <w:rFonts w:ascii="Times New Roman" w:cs="Times New Roman" w:eastAsia="Times New Roman" w:hAnsi="Times New Roman"/>
                <w:sz w:val="24"/>
                <w:szCs w:val="24"/>
                <w:rtl w:val="0"/>
              </w:rPr>
              <w:t xml:space="preserve">13 de julio ( Baraya),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 de julio (Tello)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26 de julio ( Colombia)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Lugar:  </w:t>
            </w:r>
            <w:r w:rsidDel="00000000" w:rsidR="00000000" w:rsidRPr="00000000">
              <w:rPr>
                <w:rFonts w:ascii="Times New Roman" w:cs="Times New Roman" w:eastAsia="Times New Roman" w:hAnsi="Times New Roman"/>
                <w:sz w:val="24"/>
                <w:szCs w:val="24"/>
                <w:rtl w:val="0"/>
              </w:rPr>
              <w:t xml:space="preserve">Salón del  restaurante El Botalón ( Baraya), Centro recreacional Payande (Tello) y Biblioteca del colegio Pablo Sexto ( Colombia)</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Actividad</w:t>
            </w:r>
          </w:p>
        </w:tc>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 </w:t>
            </w:r>
          </w:p>
        </w:tc>
        <w:tc>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Metodología</w:t>
            </w:r>
          </w:p>
        </w:tc>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Duración </w:t>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w:t>
            </w:r>
          </w:p>
        </w:tc>
      </w:tr>
      <w:tr>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Identificando mi rol en el escenario.</w:t>
            </w: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Auto-reconocimiento de los asistentes al espacio y de los demás  entorno al rol que cumplen dentro de sus comunidades y las motivaciones para hacer parte del espacio.</w:t>
            </w:r>
          </w:p>
        </w:tc>
        <w:tc>
          <w:tcPr/>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La facilitadora, inicia la metodología con una caminata en círculos en el escenario; posteriormente, invita a que los participantes se sienten en círculo en el piso en donde encontraran hojas de papel periódico para cada uno. Luego indicará una señal (aplausos) a partir de la cual los participantes deberán empezar a romper el periódico que tienen. Luego indicará a los participantes que deben intentar hacer una figura que los represente. Al finalizar las figuras, se invitará a los participantes a presentarse respondiendo 3 preguntas: ¿Quién soy? ¿A quiénes represento? ¿Por qué estoy aquí?</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hora y 40 minutos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Periódicos y fichas de inscripción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La oruga de la acción</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Sensibilizar a los participantes del espacio respecto al plan de acción creado por el Consejo de Paz y recordar una vez más la importancia y el rol que juega la comunidad en la materialización de esta.</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La facilitadora hará uso de unos círculos de colores donde estarán plasmadas las actividades planteadas por el Consejo de Paz en el plan de acción; de tal manera se tendrán 6 fichas de distintos colores las cuales se irán explicando sobre el suelo mientras se va formando la figura de una oruga como analogía al proceso que supone la materialización de la agenda y la implementación de la escuela como instrumentos/herramientas de formación y participación política de los líderes y lideresas en estos territorios.  </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hora y 20 minutos</w:t>
            </w:r>
          </w:p>
        </w:tc>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Círculos de colores con las actividades del plan de acción</w:t>
            </w:r>
            <w:r w:rsidDel="00000000" w:rsidR="00000000" w:rsidRPr="00000000">
              <w:rPr>
                <w:rtl w:val="0"/>
              </w:rPr>
            </w:r>
          </w:p>
        </w:tc>
      </w:tr>
      <w:tr>
        <w:tc>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Dinámica de los 7 sombreros </w:t>
            </w:r>
          </w:p>
        </w:tc>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Llevar a cabo una reflexión en torno al reconocimiento de la diferencia y distintos puntos de vista en la sociedad. </w:t>
            </w:r>
          </w:p>
        </w:tc>
        <w:tc>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El facilitador inicia la sesión con una dinámica de sensibilización que consiste en organizar 6 grupos de trabajo; a cada grupo se le asignará un sombrero de color diferente, explicando que éstos simbolizan las diferentes formas en las que se puede observar e interpretar la realidad de acuerdo a la temática definida.</w:t>
            </w:r>
          </w:p>
          <w:p w:rsidR="00000000" w:rsidDel="00000000" w:rsidP="00000000" w:rsidRDefault="00000000" w:rsidRPr="00000000" w14:paraId="0000007C">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Es así, que cada grupo realizará una dramatización cotidiana sobre el tema asumiendo los criterios conceptuales asociados a cada color. Finalmente, luego de socializar el trabajo de cada grupo, el facilitador concluirá dicho momento realizando una reflexión sobre lo que expresaron los participantes en base a una historia de 4 personajes llamados: (Cada uno, Alguién , cualquiera, Ninguno), en donde se relaciona la temática de discusión con la apatía e indiferencia al momento de asumir acciones hacia el cambio que se quedan solo en el discurso. Se narra la siguiente historia que: " Había que realizar un trabajo importante y CADA UNO estaba seguro que ALGUIEN lo haría. -CUALQUIERA pudo haberlo hecho, pero NINGUNO lo hizo. ALGUIEN se disgustó por eso,  pues el trabajo era de CADA UNO. -CADA UNO pensó que CUALQUIERA podría hacerlo, pero NINGUNO se dio cuenta que CADA UNO no lo haría. En conclusión: -CADA UNO culpó a ALGUIEN cuando NINGUNO hizo lo que CUALQUIERA podía hacerlo".</w:t>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minutos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2323"/>
                <w:sz w:val="24"/>
                <w:szCs w:val="24"/>
                <w:highlight w:val="white"/>
                <w:rtl w:val="0"/>
              </w:rPr>
              <w:t xml:space="preserve">Sombreros de color azul, blanco, negro, amarillo, verde y rojo. Video Beam y portátil.</w:t>
            </w:r>
            <w:r w:rsidDel="00000000" w:rsidR="00000000" w:rsidRPr="00000000">
              <w:rPr>
                <w:rtl w:val="0"/>
              </w:rPr>
            </w:r>
          </w:p>
        </w:tc>
      </w:tr>
      <w:tr>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Corrupción en Alcaldías del Huila-reportaje CM&amp;- ¿Usted cree que hay corrupción en el Huila?</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Crear un espacio de reflexión en torno a la corrupción como una de las realidades que más afectan el desarrollo de los territorios. </w:t>
            </w:r>
          </w:p>
        </w:tc>
        <w:tc>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Se realiza una introducción al espacio de los videos, explorando los conocimientos previos de los participantes sobre casos de corrupción y malgasto de dineros públicos en el departamento y en el municipio. </w:t>
            </w:r>
          </w:p>
          <w:p w:rsidR="00000000" w:rsidDel="00000000" w:rsidP="00000000" w:rsidRDefault="00000000" w:rsidRPr="00000000" w14:paraId="0000009A">
            <w:pPr>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Una vez reproducidos los videos se espera una participación activa de los asistentes al encuentro, opinando y reflexionando sobre la situación del contexto municipal y las apuestas presentes y futuras para el cambio y la transformación de dichas realidades.</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minutos</w:t>
            </w:r>
          </w:p>
        </w:tc>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Beam y sonido </w:t>
            </w:r>
          </w:p>
        </w:tc>
      </w:tr>
      <w:tr>
        <w:tc>
          <w:tcPr/>
          <w:p w:rsidR="00000000" w:rsidDel="00000000" w:rsidP="00000000" w:rsidRDefault="00000000" w:rsidRPr="00000000" w14:paraId="000000AB">
            <w:pP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Por qué la escuela y los Foros con candidatos pueden incidir en el fortalecimiento de la democracia y la consolidación de la paz?</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Generar una reflexión e interés de los asistentes para dinamizar espacios de incidencia política. </w:t>
            </w:r>
          </w:p>
        </w:tc>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Se motiva sobre la importancia de dinamizar los foros con candidatos, lograr acuerdos de voluntades, blindar el proceso de paz y se parte activa en los ejercicios participativos de incidencia política y construcción de los planes de desarrollo.</w:t>
            </w:r>
          </w:p>
          <w:p w:rsidR="00000000" w:rsidDel="00000000" w:rsidP="00000000" w:rsidRDefault="00000000" w:rsidRPr="00000000" w14:paraId="000000B5">
            <w:pP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Se espera que los asistentes participen de la actividad, opinando, reflexionando, y proponiendo estrategias para dinamizar dichos espacios de foros por la democracia con candidatos a las alcaldías, que incluyan temas de vital importancia para el desarrollo integral del municipio y la consolidación de la paz.</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minutos </w:t>
            </w:r>
          </w:p>
        </w:tc>
        <w:tc>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Beam y Sonido </w:t>
            </w:r>
          </w:p>
        </w:tc>
      </w:tr>
      <w:tr>
        <w:tc>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Conclusiones.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Conformación del comité de  impulso para dinamizar el proceso de incidencia política en el municipio.</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Implementación metodologica de sensibilización, para la participación en la conformacion del comité de impulso del proceso de incidencia politica en el municipio, avance en la cosntrucción del plan de acción del comité de impulso.</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minutos</w:t>
            </w:r>
          </w:p>
        </w:tc>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Beam, sonido, acta de conformación del comité, asistencia y registro fotográfico. </w:t>
            </w:r>
          </w:p>
        </w:tc>
      </w:tr>
    </w:tbl>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Trabajo independiente</w:t>
      </w:r>
    </w:p>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06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3544"/>
        <w:gridCol w:w="2693"/>
        <w:gridCol w:w="1276"/>
        <w:gridCol w:w="1134"/>
        <w:tblGridChange w:id="0">
          <w:tblGrid>
            <w:gridCol w:w="1418"/>
            <w:gridCol w:w="3544"/>
            <w:gridCol w:w="2693"/>
            <w:gridCol w:w="1276"/>
            <w:gridCol w:w="1134"/>
          </w:tblGrid>
        </w:tblGridChange>
      </w:tblGrid>
      <w:tr>
        <w:tc>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Actividad </w:t>
            </w:r>
          </w:p>
        </w:tc>
        <w:tc>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 </w:t>
            </w:r>
          </w:p>
        </w:tc>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Metodología </w:t>
            </w:r>
          </w:p>
        </w:tc>
        <w:tc>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Duración </w:t>
            </w:r>
          </w:p>
        </w:tc>
        <w:tc>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w:t>
            </w:r>
          </w:p>
        </w:tc>
      </w:tr>
      <w:tr>
        <w:trPr>
          <w:trHeight w:val="2800" w:hRule="atLeast"/>
        </w:trPr>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Reunión del comité de impulso. </w:t>
            </w:r>
          </w:p>
        </w:tc>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Explicar el contenido, desarrollo y metodología </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foro como espacio de dialogo en entre la comunidad y los candidatos a la alcaldía</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Establecer responsabilidades encaminadas al acercamiento con los candidatos y la obtención de los planes de gobierno.  </w:t>
            </w:r>
          </w:p>
        </w:tc>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realizara un encuentro con el comité de impulso creado en la I sesión de la escuela donde se esclarecerán las dudas respecto a la naturaleza del foro como espacio de dialogo.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w:t>
            </w:r>
          </w:p>
        </w:tc>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5">
      <w:pPr>
        <w:jc w:val="center"/>
        <w:rPr>
          <w:rFonts w:ascii="Times New Roman" w:cs="Times New Roman" w:eastAsia="Times New Roman" w:hAnsi="Times New Roman"/>
          <w:b w:val="1"/>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F10ED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C81650"/>
    <w:pPr>
      <w:ind w:left="720"/>
      <w:contextualSpacing w:val="1"/>
    </w:pPr>
  </w:style>
  <w:style w:type="paragraph" w:styleId="Encabezado">
    <w:name w:val="header"/>
    <w:basedOn w:val="Normal"/>
    <w:link w:val="EncabezadoCar"/>
    <w:uiPriority w:val="99"/>
    <w:unhideWhenUsed w:val="1"/>
    <w:rsid w:val="00B677B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677B4"/>
  </w:style>
  <w:style w:type="paragraph" w:styleId="Piedepgina">
    <w:name w:val="footer"/>
    <w:basedOn w:val="Normal"/>
    <w:link w:val="PiedepginaCar"/>
    <w:uiPriority w:val="99"/>
    <w:unhideWhenUsed w:val="1"/>
    <w:rsid w:val="00B677B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677B4"/>
  </w:style>
  <w:style w:type="character" w:styleId="Hipervnculo">
    <w:name w:val="Hyperlink"/>
    <w:basedOn w:val="Fuentedeprrafopredeter"/>
    <w:uiPriority w:val="99"/>
    <w:semiHidden w:val="1"/>
    <w:unhideWhenUsed w:val="1"/>
    <w:rsid w:val="009B1B0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onitorciudadano.co/docs/asi_se_mueve_la_corrup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4Q/ovcCSEM+rVfCnBo4yzm8SRg==">AMUW2mUBFzICkc6H7GIWdKIkIIMQ7dxUcHL0oLd70kmCqNYz1RK9H2JBdQbJrIblgmNu6xX/M26Yl/10nJT94qV9sV0aZFrFDEWJZJLyG/WcnAHKrB34hrQ=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2019-07-10T03:29:00Z</dcterms:created>
  <dc:creator>vc</dc:creator>
</cp:coreProperties>
</file>